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1C" w:rsidRDefault="00133B1C" w:rsidP="00133B1C">
      <w:pPr>
        <w:pStyle w:val="Heading2"/>
      </w:pPr>
      <w:bookmarkStart w:id="0" w:name="_GoBack"/>
      <w:bookmarkEnd w:id="0"/>
      <w:r>
        <w:t xml:space="preserve">License &amp; Appointment Requirements for </w:t>
      </w:r>
      <w:r w:rsidR="00F93467">
        <w:t>Non-</w:t>
      </w:r>
      <w:r>
        <w:t xml:space="preserve">Admitted </w:t>
      </w:r>
    </w:p>
    <w:p w:rsidR="00133B1C" w:rsidRPr="00552B87" w:rsidRDefault="00133B1C" w:rsidP="00133B1C">
      <w:pPr>
        <w:tabs>
          <w:tab w:val="left" w:pos="420"/>
          <w:tab w:val="left" w:pos="10500"/>
        </w:tabs>
        <w:rPr>
          <w:sz w:val="20"/>
          <w:szCs w:val="20"/>
        </w:rPr>
      </w:pPr>
    </w:p>
    <w:tbl>
      <w:tblPr>
        <w:tblW w:w="10905" w:type="dxa"/>
        <w:tblInd w:w="93" w:type="dxa"/>
        <w:tblLook w:val="04A0" w:firstRow="1" w:lastRow="0" w:firstColumn="1" w:lastColumn="0" w:noHBand="0" w:noVBand="1"/>
      </w:tblPr>
      <w:tblGrid>
        <w:gridCol w:w="9105"/>
        <w:gridCol w:w="1800"/>
      </w:tblGrid>
      <w:tr w:rsidR="00133B1C" w:rsidTr="00EE3E25">
        <w:trPr>
          <w:trHeight w:val="332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7030A0"/>
            <w:noWrap/>
            <w:vAlign w:val="bottom"/>
            <w:hideMark/>
          </w:tcPr>
          <w:p w:rsidR="00133B1C" w:rsidRDefault="00133B1C" w:rsidP="003E6B10">
            <w:pPr>
              <w:jc w:val="center"/>
              <w:rPr>
                <w:rFonts w:ascii="Arial" w:hAnsi="Arial" w:cs="Arial"/>
                <w:b/>
                <w:bCs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2F2F2"/>
                <w:sz w:val="20"/>
                <w:szCs w:val="20"/>
              </w:rPr>
              <w:t>Color grid for corp column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C" w:rsidRDefault="00133B1C" w:rsidP="003E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E25" w:rsidTr="00EE3E25">
        <w:trPr>
          <w:trHeight w:val="255"/>
        </w:trPr>
        <w:tc>
          <w:tcPr>
            <w:tcW w:w="9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E25" w:rsidRDefault="00EE3E25" w:rsidP="003E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Yellow – Individuals who are not sub-licensees will need to be appointed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25" w:rsidRDefault="00EE3E25" w:rsidP="003E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3B1C" w:rsidRDefault="00133B1C" w:rsidP="00133B1C"/>
    <w:tbl>
      <w:tblPr>
        <w:tblW w:w="109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5"/>
        <w:gridCol w:w="3780"/>
        <w:gridCol w:w="4410"/>
      </w:tblGrid>
      <w:tr w:rsidR="009574F9" w:rsidTr="009574F9">
        <w:trPr>
          <w:trHeight w:val="665"/>
          <w:tblHeader/>
        </w:trPr>
        <w:tc>
          <w:tcPr>
            <w:tcW w:w="2715" w:type="dxa"/>
            <w:shd w:val="clear" w:color="auto" w:fill="auto"/>
            <w:vAlign w:val="bottom"/>
            <w:hideMark/>
          </w:tcPr>
          <w:p w:rsidR="009574F9" w:rsidRDefault="009574F9" w:rsidP="009574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4B8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LICENSE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REQUIREMENT NON-ADMITTED COMPANIES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B1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APPOINTMENT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REQUIREMENT</w:t>
            </w:r>
          </w:p>
          <w:p w:rsidR="009574F9" w:rsidRDefault="009574F9" w:rsidP="009574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NION - ADMITTED COMPANIES</w:t>
            </w:r>
          </w:p>
        </w:tc>
      </w:tr>
      <w:tr w:rsidR="009574F9" w:rsidTr="009574F9">
        <w:trPr>
          <w:trHeight w:val="255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Alabama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</w:tr>
      <w:tr w:rsidR="009574F9" w:rsidTr="009574F9">
        <w:trPr>
          <w:trHeight w:val="255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Alaska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</w:tr>
      <w:tr w:rsidR="009574F9" w:rsidTr="009574F9">
        <w:trPr>
          <w:trHeight w:val="255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Arizona *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</w:tr>
      <w:tr w:rsidR="009574F9" w:rsidTr="009574F9">
        <w:trPr>
          <w:trHeight w:val="255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Arkansas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</w:tr>
      <w:tr w:rsidR="009574F9" w:rsidTr="009574F9">
        <w:trPr>
          <w:trHeight w:val="255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California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</w:tr>
      <w:tr w:rsidR="009574F9" w:rsidTr="009574F9">
        <w:trPr>
          <w:trHeight w:val="255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Colorado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</w:tr>
      <w:tr w:rsidR="009574F9" w:rsidTr="009574F9">
        <w:trPr>
          <w:trHeight w:val="255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Connecticut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</w:tr>
      <w:tr w:rsidR="009574F9" w:rsidTr="009574F9">
        <w:trPr>
          <w:trHeight w:val="255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 of Columbia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</w:tr>
      <w:tr w:rsidR="009574F9" w:rsidTr="009574F9">
        <w:trPr>
          <w:trHeight w:val="255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Delaware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</w:tr>
      <w:tr w:rsidR="009574F9" w:rsidTr="009574F9">
        <w:trPr>
          <w:trHeight w:val="255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Florida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</w:tr>
      <w:tr w:rsidR="009574F9" w:rsidTr="009574F9">
        <w:trPr>
          <w:trHeight w:val="255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Georgia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</w:tr>
      <w:tr w:rsidR="009574F9" w:rsidTr="009574F9">
        <w:trPr>
          <w:trHeight w:val="255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Hawaii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</w:tr>
      <w:tr w:rsidR="009574F9" w:rsidTr="009574F9">
        <w:trPr>
          <w:trHeight w:val="255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Idaho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</w:tr>
      <w:tr w:rsidR="009574F9" w:rsidTr="009574F9">
        <w:trPr>
          <w:trHeight w:val="255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Illinois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</w:tr>
      <w:tr w:rsidR="009574F9" w:rsidTr="009574F9">
        <w:trPr>
          <w:trHeight w:val="255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Indiana *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</w:tr>
      <w:tr w:rsidR="009574F9" w:rsidTr="009574F9">
        <w:trPr>
          <w:trHeight w:val="255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Iowa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</w:tr>
      <w:tr w:rsidR="009574F9" w:rsidTr="009574F9">
        <w:trPr>
          <w:trHeight w:val="255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</w:tr>
      <w:tr w:rsidR="009574F9" w:rsidTr="009574F9">
        <w:trPr>
          <w:trHeight w:val="255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Kentucky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</w:tr>
      <w:tr w:rsidR="009574F9" w:rsidTr="009574F9">
        <w:trPr>
          <w:trHeight w:val="255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Louisiana *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</w:tr>
      <w:tr w:rsidR="009574F9" w:rsidTr="009574F9">
        <w:trPr>
          <w:trHeight w:val="255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Maine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</w:tr>
      <w:tr w:rsidR="009574F9" w:rsidTr="009574F9">
        <w:trPr>
          <w:trHeight w:val="255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Maryland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</w:tr>
      <w:tr w:rsidR="009574F9" w:rsidTr="009574F9">
        <w:trPr>
          <w:trHeight w:val="255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Massachusetts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</w:tr>
      <w:tr w:rsidR="009574F9" w:rsidTr="009574F9">
        <w:trPr>
          <w:trHeight w:val="255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Michigan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</w:tr>
      <w:tr w:rsidR="009574F9" w:rsidTr="009574F9">
        <w:trPr>
          <w:trHeight w:val="255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Minnesota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</w:tr>
      <w:tr w:rsidR="009574F9" w:rsidTr="009574F9">
        <w:trPr>
          <w:trHeight w:val="255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Mississippi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</w:tr>
      <w:tr w:rsidR="009574F9" w:rsidTr="009574F9">
        <w:trPr>
          <w:trHeight w:val="255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Missouri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</w:tr>
      <w:tr w:rsidR="009574F9" w:rsidTr="009574F9">
        <w:trPr>
          <w:trHeight w:val="255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Montana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</w:tr>
      <w:tr w:rsidR="009574F9" w:rsidTr="009574F9">
        <w:trPr>
          <w:trHeight w:val="255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Nebraska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</w:tr>
      <w:tr w:rsidR="009574F9" w:rsidTr="009574F9">
        <w:trPr>
          <w:trHeight w:val="255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Nevada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</w:tr>
      <w:tr w:rsidR="009574F9" w:rsidTr="009574F9">
        <w:trPr>
          <w:trHeight w:val="255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Hampshire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</w:tr>
      <w:tr w:rsidR="009574F9" w:rsidTr="009574F9">
        <w:trPr>
          <w:trHeight w:val="255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Jersey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</w:tr>
      <w:tr w:rsidR="009574F9" w:rsidTr="009574F9">
        <w:trPr>
          <w:trHeight w:val="255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Mexico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</w:tr>
      <w:tr w:rsidR="009574F9" w:rsidTr="00EE3E25">
        <w:trPr>
          <w:trHeight w:val="255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York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  <w:tc>
          <w:tcPr>
            <w:tcW w:w="4410" w:type="dxa"/>
            <w:shd w:val="clear" w:color="auto" w:fill="FFFF00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</w:tr>
      <w:tr w:rsidR="009574F9" w:rsidTr="009574F9">
        <w:trPr>
          <w:trHeight w:val="255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Carolina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</w:tr>
      <w:tr w:rsidR="009574F9" w:rsidTr="009574F9">
        <w:trPr>
          <w:trHeight w:val="255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Dakota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</w:tr>
      <w:tr w:rsidR="009574F9" w:rsidTr="009574F9">
        <w:trPr>
          <w:trHeight w:val="255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Ohio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</w:tr>
      <w:tr w:rsidR="009574F9" w:rsidTr="009574F9">
        <w:trPr>
          <w:trHeight w:val="323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Oklahoma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</w:tr>
      <w:tr w:rsidR="009574F9" w:rsidTr="009574F9">
        <w:trPr>
          <w:trHeight w:val="255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Oregon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</w:tr>
      <w:tr w:rsidR="009574F9" w:rsidTr="009574F9">
        <w:trPr>
          <w:trHeight w:val="255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Pennsylvania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</w:tr>
      <w:tr w:rsidR="009574F9" w:rsidTr="009574F9">
        <w:trPr>
          <w:trHeight w:val="255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Rhode Island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</w:tr>
      <w:tr w:rsidR="009574F9" w:rsidTr="009574F9">
        <w:trPr>
          <w:trHeight w:val="255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South Carolina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</w:tr>
      <w:tr w:rsidR="009574F9" w:rsidTr="009574F9">
        <w:trPr>
          <w:trHeight w:val="255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Dakota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</w:tr>
      <w:tr w:rsidR="009574F9" w:rsidTr="009574F9">
        <w:trPr>
          <w:trHeight w:val="255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Tennessee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</w:tr>
      <w:tr w:rsidR="009574F9" w:rsidTr="009574F9">
        <w:trPr>
          <w:trHeight w:val="255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Texas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</w:tr>
      <w:tr w:rsidR="009574F9" w:rsidTr="009574F9">
        <w:trPr>
          <w:trHeight w:val="255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Utah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</w:tr>
      <w:tr w:rsidR="009574F9" w:rsidTr="009574F9">
        <w:trPr>
          <w:trHeight w:val="255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Vermont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</w:tr>
      <w:tr w:rsidR="009574F9" w:rsidTr="009574F9">
        <w:trPr>
          <w:trHeight w:val="255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Virginia *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</w:tr>
      <w:tr w:rsidR="009574F9" w:rsidTr="009574F9">
        <w:trPr>
          <w:trHeight w:val="255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</w:tr>
      <w:tr w:rsidR="009574F9" w:rsidTr="009574F9">
        <w:trPr>
          <w:trHeight w:val="255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 Virginia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</w:tr>
      <w:tr w:rsidR="009574F9" w:rsidTr="009574F9">
        <w:trPr>
          <w:trHeight w:val="255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Wisconsin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</w:tr>
      <w:tr w:rsidR="009574F9" w:rsidTr="009574F9">
        <w:trPr>
          <w:trHeight w:val="255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Wyoming</w:t>
            </w:r>
          </w:p>
        </w:tc>
        <w:tc>
          <w:tcPr>
            <w:tcW w:w="378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  <w:tc>
          <w:tcPr>
            <w:tcW w:w="4410" w:type="dxa"/>
            <w:vAlign w:val="bottom"/>
          </w:tcPr>
          <w:p w:rsidR="009574F9" w:rsidRDefault="009574F9" w:rsidP="00957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&amp; Individual</w:t>
            </w:r>
          </w:p>
        </w:tc>
      </w:tr>
    </w:tbl>
    <w:p w:rsidR="00133B1C" w:rsidRDefault="00133B1C"/>
    <w:tbl>
      <w:tblPr>
        <w:tblW w:w="109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2805"/>
        <w:gridCol w:w="1482"/>
        <w:gridCol w:w="1694"/>
        <w:gridCol w:w="1784"/>
        <w:gridCol w:w="2225"/>
        <w:gridCol w:w="270"/>
      </w:tblGrid>
      <w:tr w:rsidR="00133B1C" w:rsidTr="00EE3E25">
        <w:trPr>
          <w:trHeight w:val="270"/>
        </w:trPr>
        <w:tc>
          <w:tcPr>
            <w:tcW w:w="645" w:type="dxa"/>
          </w:tcPr>
          <w:p w:rsidR="00133B1C" w:rsidRDefault="00133B1C" w:rsidP="003E6B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90" w:type="dxa"/>
            <w:gridSpan w:val="5"/>
            <w:vMerge w:val="restart"/>
            <w:shd w:val="clear" w:color="auto" w:fill="auto"/>
            <w:vAlign w:val="bottom"/>
            <w:hideMark/>
          </w:tcPr>
          <w:p w:rsidR="00133B1C" w:rsidRDefault="00133B1C" w:rsidP="003E6B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 Arizona, Indiana, Louisiana and Virginia - will issue separate </w:t>
            </w:r>
            <w:r w:rsidR="00437316"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licenses for surplus lines, however these states </w:t>
            </w:r>
            <w:r w:rsidR="00437316">
              <w:rPr>
                <w:rFonts w:ascii="Arial" w:hAnsi="Arial" w:cs="Arial"/>
                <w:b/>
                <w:bCs/>
                <w:sz w:val="20"/>
                <w:szCs w:val="20"/>
              </w:rPr>
              <w:t>advised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that provided the Corporation, Partnership, LLC or LLP is licensed for surplus and the individual holds an admitted license the </w:t>
            </w:r>
            <w:r w:rsidR="00437316"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will not have to hold a </w:t>
            </w:r>
            <w:r w:rsidR="00437316">
              <w:rPr>
                <w:rFonts w:ascii="Arial" w:hAnsi="Arial" w:cs="Arial"/>
                <w:b/>
                <w:bCs/>
                <w:sz w:val="20"/>
                <w:szCs w:val="20"/>
              </w:rPr>
              <w:t>separate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surplus lines license.  </w:t>
            </w:r>
          </w:p>
        </w:tc>
        <w:tc>
          <w:tcPr>
            <w:tcW w:w="270" w:type="dxa"/>
          </w:tcPr>
          <w:p w:rsidR="00133B1C" w:rsidRDefault="00133B1C" w:rsidP="003E6B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3B1C" w:rsidTr="00EE3E25">
        <w:trPr>
          <w:trHeight w:val="540"/>
        </w:trPr>
        <w:tc>
          <w:tcPr>
            <w:tcW w:w="645" w:type="dxa"/>
          </w:tcPr>
          <w:p w:rsidR="00133B1C" w:rsidRDefault="00133B1C" w:rsidP="003E6B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90" w:type="dxa"/>
            <w:gridSpan w:val="5"/>
            <w:vMerge/>
            <w:vAlign w:val="center"/>
            <w:hideMark/>
          </w:tcPr>
          <w:p w:rsidR="00133B1C" w:rsidRDefault="00133B1C" w:rsidP="003E6B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</w:tcPr>
          <w:p w:rsidR="00133B1C" w:rsidRDefault="00133B1C" w:rsidP="003E6B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3B1C" w:rsidTr="00EE3E25">
        <w:trPr>
          <w:trHeight w:val="270"/>
        </w:trPr>
        <w:tc>
          <w:tcPr>
            <w:tcW w:w="645" w:type="dxa"/>
            <w:shd w:val="clear" w:color="auto" w:fill="auto"/>
            <w:vAlign w:val="bottom"/>
            <w:hideMark/>
          </w:tcPr>
          <w:p w:rsidR="00133B1C" w:rsidRDefault="00133B1C" w:rsidP="003E6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auto"/>
            <w:vAlign w:val="bottom"/>
            <w:hideMark/>
          </w:tcPr>
          <w:p w:rsidR="00133B1C" w:rsidRDefault="00133B1C" w:rsidP="003E6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bottom"/>
            <w:hideMark/>
          </w:tcPr>
          <w:p w:rsidR="00133B1C" w:rsidRDefault="00133B1C" w:rsidP="003E6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133B1C" w:rsidRDefault="00133B1C" w:rsidP="003E6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vAlign w:val="bottom"/>
            <w:hideMark/>
          </w:tcPr>
          <w:p w:rsidR="00133B1C" w:rsidRDefault="00133B1C" w:rsidP="003E6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  <w:vAlign w:val="bottom"/>
            <w:hideMark/>
          </w:tcPr>
          <w:p w:rsidR="00133B1C" w:rsidRDefault="00133B1C" w:rsidP="003E6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133B1C" w:rsidRDefault="00133B1C" w:rsidP="003E6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B1C" w:rsidTr="00EE3E25">
        <w:trPr>
          <w:trHeight w:val="315"/>
        </w:trPr>
        <w:tc>
          <w:tcPr>
            <w:tcW w:w="645" w:type="dxa"/>
          </w:tcPr>
          <w:p w:rsidR="00133B1C" w:rsidRDefault="00133B1C" w:rsidP="003E6B10">
            <w:pPr>
              <w:rPr>
                <w:b/>
                <w:bCs/>
                <w:u w:val="single"/>
              </w:rPr>
            </w:pPr>
          </w:p>
        </w:tc>
        <w:tc>
          <w:tcPr>
            <w:tcW w:w="9990" w:type="dxa"/>
            <w:gridSpan w:val="5"/>
            <w:shd w:val="clear" w:color="auto" w:fill="auto"/>
            <w:vAlign w:val="bottom"/>
            <w:hideMark/>
          </w:tcPr>
          <w:p w:rsidR="00133B1C" w:rsidRDefault="00133B1C" w:rsidP="003E6B1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Illinois Union Insurance Company – ILU</w:t>
            </w:r>
            <w:r>
              <w:rPr>
                <w:u w:val="single"/>
              </w:rPr>
              <w:t>:</w:t>
            </w:r>
            <w:r>
              <w:t xml:space="preserve">  “Non-Admitted Company” in all states.</w:t>
            </w:r>
          </w:p>
        </w:tc>
        <w:tc>
          <w:tcPr>
            <w:tcW w:w="270" w:type="dxa"/>
          </w:tcPr>
          <w:p w:rsidR="00133B1C" w:rsidRDefault="00133B1C" w:rsidP="003E6B10">
            <w:pPr>
              <w:rPr>
                <w:b/>
                <w:bCs/>
                <w:u w:val="single"/>
              </w:rPr>
            </w:pPr>
          </w:p>
        </w:tc>
      </w:tr>
      <w:tr w:rsidR="00BF0037" w:rsidTr="00BF0037">
        <w:trPr>
          <w:trHeight w:val="288"/>
        </w:trPr>
        <w:tc>
          <w:tcPr>
            <w:tcW w:w="645" w:type="dxa"/>
          </w:tcPr>
          <w:p w:rsidR="00BF0037" w:rsidRDefault="00BF0037" w:rsidP="00EF7D27">
            <w:pPr>
              <w:rPr>
                <w:b/>
                <w:bCs/>
                <w:u w:val="single"/>
              </w:rPr>
            </w:pPr>
          </w:p>
        </w:tc>
        <w:tc>
          <w:tcPr>
            <w:tcW w:w="9990" w:type="dxa"/>
            <w:gridSpan w:val="5"/>
            <w:shd w:val="clear" w:color="auto" w:fill="auto"/>
            <w:vAlign w:val="bottom"/>
            <w:hideMark/>
          </w:tcPr>
          <w:p w:rsidR="00BF0037" w:rsidRDefault="00BF0037" w:rsidP="00EF7D2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Chubb Custom Insurance Company</w:t>
            </w:r>
            <w:r>
              <w:rPr>
                <w:u w:val="single"/>
              </w:rPr>
              <w:t>:</w:t>
            </w:r>
            <w:r>
              <w:t xml:space="preserve">  “Non-Admitted Company” in all states.</w:t>
            </w:r>
          </w:p>
        </w:tc>
        <w:tc>
          <w:tcPr>
            <w:tcW w:w="270" w:type="dxa"/>
          </w:tcPr>
          <w:p w:rsidR="00BF0037" w:rsidRDefault="00BF0037" w:rsidP="00EF7D27">
            <w:pPr>
              <w:rPr>
                <w:b/>
                <w:bCs/>
                <w:u w:val="single"/>
              </w:rPr>
            </w:pPr>
          </w:p>
        </w:tc>
      </w:tr>
      <w:tr w:rsidR="00BF0037" w:rsidTr="00EF7D27">
        <w:trPr>
          <w:trHeight w:val="315"/>
        </w:trPr>
        <w:tc>
          <w:tcPr>
            <w:tcW w:w="645" w:type="dxa"/>
          </w:tcPr>
          <w:p w:rsidR="00BF0037" w:rsidRDefault="00BF0037" w:rsidP="00EF7D27">
            <w:pPr>
              <w:rPr>
                <w:b/>
                <w:bCs/>
                <w:u w:val="single"/>
              </w:rPr>
            </w:pPr>
          </w:p>
        </w:tc>
        <w:tc>
          <w:tcPr>
            <w:tcW w:w="9990" w:type="dxa"/>
            <w:gridSpan w:val="5"/>
            <w:shd w:val="clear" w:color="auto" w:fill="auto"/>
            <w:vAlign w:val="bottom"/>
            <w:hideMark/>
          </w:tcPr>
          <w:p w:rsidR="00BF0037" w:rsidRDefault="00BF0037" w:rsidP="00EF7D2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Executive Risk Specialty Insurance Company</w:t>
            </w:r>
            <w:r>
              <w:t xml:space="preserve">  “Non-Admitted Company” in all states.</w:t>
            </w:r>
          </w:p>
        </w:tc>
        <w:tc>
          <w:tcPr>
            <w:tcW w:w="270" w:type="dxa"/>
          </w:tcPr>
          <w:p w:rsidR="00BF0037" w:rsidRDefault="00BF0037" w:rsidP="00EF7D27">
            <w:pPr>
              <w:rPr>
                <w:b/>
                <w:bCs/>
                <w:u w:val="single"/>
              </w:rPr>
            </w:pPr>
          </w:p>
        </w:tc>
      </w:tr>
      <w:tr w:rsidR="00133B1C" w:rsidTr="00EE3E25">
        <w:trPr>
          <w:trHeight w:val="315"/>
        </w:trPr>
        <w:tc>
          <w:tcPr>
            <w:tcW w:w="645" w:type="dxa"/>
            <w:shd w:val="clear" w:color="auto" w:fill="auto"/>
            <w:vAlign w:val="bottom"/>
            <w:hideMark/>
          </w:tcPr>
          <w:p w:rsidR="00133B1C" w:rsidRDefault="00133B1C" w:rsidP="003E6B10">
            <w:pPr>
              <w:rPr>
                <w:b/>
                <w:bCs/>
                <w:u w:val="single"/>
              </w:rPr>
            </w:pPr>
          </w:p>
        </w:tc>
        <w:tc>
          <w:tcPr>
            <w:tcW w:w="2805" w:type="dxa"/>
            <w:shd w:val="clear" w:color="auto" w:fill="auto"/>
            <w:vAlign w:val="bottom"/>
            <w:hideMark/>
          </w:tcPr>
          <w:p w:rsidR="00133B1C" w:rsidRDefault="00133B1C" w:rsidP="003E6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bottom"/>
            <w:hideMark/>
          </w:tcPr>
          <w:p w:rsidR="00133B1C" w:rsidRDefault="00133B1C" w:rsidP="003E6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133B1C" w:rsidRDefault="00133B1C" w:rsidP="003E6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vAlign w:val="bottom"/>
            <w:hideMark/>
          </w:tcPr>
          <w:p w:rsidR="00133B1C" w:rsidRDefault="00133B1C" w:rsidP="003E6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  <w:vAlign w:val="bottom"/>
            <w:hideMark/>
          </w:tcPr>
          <w:p w:rsidR="00133B1C" w:rsidRDefault="00133B1C" w:rsidP="003E6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133B1C" w:rsidRDefault="00133B1C" w:rsidP="003E6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B1C" w:rsidTr="00EE3E25">
        <w:trPr>
          <w:trHeight w:val="630"/>
        </w:trPr>
        <w:tc>
          <w:tcPr>
            <w:tcW w:w="645" w:type="dxa"/>
          </w:tcPr>
          <w:p w:rsidR="00133B1C" w:rsidRDefault="00133B1C" w:rsidP="003E6B10">
            <w:pPr>
              <w:rPr>
                <w:b/>
                <w:bCs/>
                <w:u w:val="single"/>
              </w:rPr>
            </w:pPr>
          </w:p>
        </w:tc>
        <w:tc>
          <w:tcPr>
            <w:tcW w:w="9990" w:type="dxa"/>
            <w:gridSpan w:val="5"/>
            <w:shd w:val="clear" w:color="auto" w:fill="auto"/>
            <w:vAlign w:val="bottom"/>
            <w:hideMark/>
          </w:tcPr>
          <w:p w:rsidR="00133B1C" w:rsidRDefault="00133B1C" w:rsidP="003E6B1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Westchester Surplus Lines Insurance Company – WSL</w:t>
            </w:r>
            <w:r>
              <w:rPr>
                <w:u w:val="single"/>
              </w:rPr>
              <w:t>:</w:t>
            </w:r>
            <w:r>
              <w:rPr>
                <w:b/>
                <w:bCs/>
              </w:rPr>
              <w:t xml:space="preserve"> “</w:t>
            </w:r>
            <w:r>
              <w:t>Admitted Company” in Georgia.  If a policy is issued in Georgia agent must hold a regular P&amp;C license and appointment.  “Non-Admitted Company” in all other states except:  Minnesota.   Company is not authorized in this state.</w:t>
            </w:r>
          </w:p>
        </w:tc>
        <w:tc>
          <w:tcPr>
            <w:tcW w:w="270" w:type="dxa"/>
          </w:tcPr>
          <w:p w:rsidR="00133B1C" w:rsidRDefault="00133B1C" w:rsidP="003E6B10">
            <w:pPr>
              <w:rPr>
                <w:b/>
                <w:bCs/>
                <w:u w:val="single"/>
              </w:rPr>
            </w:pPr>
          </w:p>
        </w:tc>
      </w:tr>
    </w:tbl>
    <w:p w:rsidR="00133B1C" w:rsidRDefault="00133B1C" w:rsidP="00133B1C">
      <w:pPr>
        <w:tabs>
          <w:tab w:val="left" w:pos="420"/>
          <w:tab w:val="left" w:pos="10500"/>
        </w:tabs>
        <w:rPr>
          <w:sz w:val="20"/>
          <w:szCs w:val="20"/>
        </w:rPr>
      </w:pPr>
    </w:p>
    <w:p w:rsidR="00A0698E" w:rsidRDefault="00A0698E"/>
    <w:sectPr w:rsidR="00A0698E" w:rsidSect="00E9220E">
      <w:pgSz w:w="12240" w:h="15840"/>
      <w:pgMar w:top="1440" w:right="5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58"/>
    <w:rsid w:val="000E5558"/>
    <w:rsid w:val="00103A2A"/>
    <w:rsid w:val="00133B1C"/>
    <w:rsid w:val="00404B8D"/>
    <w:rsid w:val="00411387"/>
    <w:rsid w:val="00437316"/>
    <w:rsid w:val="00581104"/>
    <w:rsid w:val="00902DCD"/>
    <w:rsid w:val="00941720"/>
    <w:rsid w:val="009574F9"/>
    <w:rsid w:val="00A0698E"/>
    <w:rsid w:val="00BA513F"/>
    <w:rsid w:val="00BF0037"/>
    <w:rsid w:val="00D336AA"/>
    <w:rsid w:val="00E9220E"/>
    <w:rsid w:val="00EE3E25"/>
    <w:rsid w:val="00F9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0E5558"/>
    <w:pPr>
      <w:keepNext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5558"/>
    <w:rPr>
      <w:rFonts w:ascii="Times New Roman" w:eastAsia="Times New Roman" w:hAnsi="Times New Roman" w:cs="Arial"/>
      <w:b/>
      <w:bCs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0E5558"/>
    <w:pPr>
      <w:keepNext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5558"/>
    <w:rPr>
      <w:rFonts w:ascii="Times New Roman" w:eastAsia="Times New Roman" w:hAnsi="Times New Roman" w:cs="Arial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4506C-A60D-40E7-8F99-D03F208E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 Group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M. Johnson</dc:creator>
  <cp:lastModifiedBy>Donna M. Johnson</cp:lastModifiedBy>
  <cp:revision>4</cp:revision>
  <dcterms:created xsi:type="dcterms:W3CDTF">2016-04-26T17:47:00Z</dcterms:created>
  <dcterms:modified xsi:type="dcterms:W3CDTF">2016-04-28T13:34:00Z</dcterms:modified>
</cp:coreProperties>
</file>