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7500" w:type="dxa"/>
        <w:jc w:val="center"/>
        <w:tblCellMar>
          <w:top w:w="150" w:type="dxa"/>
          <w:left w:w="150" w:type="dxa"/>
          <w:bottom w:w="150" w:type="dxa"/>
          <w:right w:w="150" w:type="dxa"/>
        </w:tblCellMar>
        <w:tblLook w:val="04A0" w:firstRow="1" w:lastRow="0" w:firstColumn="1" w:lastColumn="0" w:noHBand="0" w:noVBand="1"/>
      </w:tblPr>
      <w:tblGrid>
        <w:gridCol w:w="7801"/>
      </w:tblGrid>
      <w:tr w:rsidR="00347DF6" w:rsidRPr="00347DF6" w14:paraId="31309392" w14:textId="77777777" w:rsidTr="00347DF6">
        <w:trPr>
          <w:jc w:val="center"/>
        </w:trPr>
        <w:tc>
          <w:tcPr>
            <w:tcW w:w="0" w:type="auto"/>
            <w:vAlign w:val="center"/>
            <w:hideMark/>
          </w:tcPr>
          <w:tbl>
            <w:tblPr>
              <w:tblW w:w="7500" w:type="dxa"/>
              <w:jc w:val="center"/>
              <w:shd w:val="clear" w:color="auto" w:fill="FFFFFF"/>
              <w:tblCellMar>
                <w:left w:w="0" w:type="dxa"/>
                <w:right w:w="0" w:type="dxa"/>
              </w:tblCellMar>
              <w:tblLook w:val="04A0" w:firstRow="1" w:lastRow="0" w:firstColumn="1" w:lastColumn="0" w:noHBand="0" w:noVBand="1"/>
            </w:tblPr>
            <w:tblGrid>
              <w:gridCol w:w="7501"/>
            </w:tblGrid>
            <w:tr w:rsidR="00347DF6" w:rsidRPr="00347DF6" w14:paraId="6E3A7F91" w14:textId="77777777">
              <w:trPr>
                <w:jc w:val="center"/>
              </w:trPr>
              <w:tc>
                <w:tcPr>
                  <w:tcW w:w="0" w:type="auto"/>
                  <w:shd w:val="clear" w:color="auto" w:fill="FFFFFF"/>
                  <w:tcMar>
                    <w:top w:w="300" w:type="dxa"/>
                    <w:left w:w="450" w:type="dxa"/>
                    <w:bottom w:w="300" w:type="dxa"/>
                    <w:right w:w="450" w:type="dxa"/>
                  </w:tcMar>
                  <w:hideMark/>
                </w:tcPr>
                <w:tbl>
                  <w:tblPr>
                    <w:tblW w:w="0" w:type="auto"/>
                    <w:tblCellMar>
                      <w:left w:w="0" w:type="dxa"/>
                      <w:right w:w="0" w:type="dxa"/>
                    </w:tblCellMar>
                    <w:tblLook w:val="04A0" w:firstRow="1" w:lastRow="0" w:firstColumn="1" w:lastColumn="0" w:noHBand="0" w:noVBand="1"/>
                  </w:tblPr>
                  <w:tblGrid>
                    <w:gridCol w:w="3181"/>
                  </w:tblGrid>
                  <w:tr w:rsidR="00347DF6" w:rsidRPr="00347DF6" w14:paraId="553972D2" w14:textId="77777777">
                    <w:tc>
                      <w:tcPr>
                        <w:tcW w:w="0" w:type="auto"/>
                        <w:hideMark/>
                      </w:tcPr>
                      <w:p w14:paraId="160EEA26" w14:textId="549E477E" w:rsidR="00347DF6" w:rsidRPr="00347DF6" w:rsidRDefault="00347DF6" w:rsidP="00347DF6">
                        <w:pPr>
                          <w:spacing w:after="0" w:line="240" w:lineRule="auto"/>
                          <w:rPr>
                            <w:rFonts w:ascii="Times New Roman" w:eastAsia="Times New Roman" w:hAnsi="Times New Roman" w:cs="Times New Roman"/>
                            <w:sz w:val="24"/>
                            <w:szCs w:val="24"/>
                          </w:rPr>
                        </w:pPr>
                        <w:r w:rsidRPr="00347DF6">
                          <w:rPr>
                            <w:rFonts w:ascii="Times New Roman" w:eastAsia="Times New Roman" w:hAnsi="Times New Roman" w:cs="Times New Roman"/>
                            <w:noProof/>
                            <w:color w:val="150F96"/>
                            <w:sz w:val="24"/>
                            <w:szCs w:val="24"/>
                          </w:rPr>
                          <w:drawing>
                            <wp:inline distT="0" distB="0" distL="0" distR="0" wp14:anchorId="72C61FC3" wp14:editId="28580AAD">
                              <wp:extent cx="2019935" cy="222885"/>
                              <wp:effectExtent l="0" t="0" r="0" b="5715"/>
                              <wp:docPr id="3" name="Picture 3" descr="CHUBB | accenture">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BB | accenture">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9935" cy="222885"/>
                                      </a:xfrm>
                                      <a:prstGeom prst="rect">
                                        <a:avLst/>
                                      </a:prstGeom>
                                      <a:noFill/>
                                      <a:ln>
                                        <a:noFill/>
                                      </a:ln>
                                    </pic:spPr>
                                  </pic:pic>
                                </a:graphicData>
                              </a:graphic>
                            </wp:inline>
                          </w:drawing>
                        </w:r>
                      </w:p>
                    </w:tc>
                  </w:tr>
                </w:tbl>
                <w:p w14:paraId="17F6B2EA" w14:textId="77777777" w:rsidR="00347DF6" w:rsidRPr="00347DF6" w:rsidRDefault="00347DF6" w:rsidP="00347DF6">
                  <w:pPr>
                    <w:spacing w:after="0" w:line="240" w:lineRule="auto"/>
                    <w:rPr>
                      <w:rFonts w:ascii="Times New Roman" w:eastAsia="Times New Roman" w:hAnsi="Times New Roman" w:cs="Times New Roman"/>
                      <w:sz w:val="24"/>
                      <w:szCs w:val="24"/>
                    </w:rPr>
                  </w:pPr>
                </w:p>
              </w:tc>
            </w:tr>
            <w:tr w:rsidR="00347DF6" w:rsidRPr="00347DF6" w14:paraId="16812775" w14:textId="77777777">
              <w:trPr>
                <w:jc w:val="center"/>
              </w:trPr>
              <w:tc>
                <w:tcPr>
                  <w:tcW w:w="0" w:type="auto"/>
                  <w:shd w:val="clear" w:color="auto" w:fill="FFFFFF"/>
                  <w:hideMark/>
                </w:tcPr>
                <w:p w14:paraId="553CBF3B" w14:textId="0B9C68F1" w:rsidR="00347DF6" w:rsidRPr="00347DF6" w:rsidRDefault="00347DF6" w:rsidP="00347DF6">
                  <w:pPr>
                    <w:spacing w:after="0" w:line="240" w:lineRule="auto"/>
                    <w:jc w:val="center"/>
                    <w:rPr>
                      <w:rFonts w:ascii="Times New Roman" w:eastAsia="Times New Roman" w:hAnsi="Times New Roman" w:cs="Times New Roman"/>
                      <w:sz w:val="24"/>
                      <w:szCs w:val="24"/>
                    </w:rPr>
                  </w:pPr>
                  <w:r w:rsidRPr="00347DF6">
                    <w:rPr>
                      <w:rFonts w:ascii="Times New Roman" w:eastAsia="Times New Roman" w:hAnsi="Times New Roman" w:cs="Times New Roman"/>
                      <w:noProof/>
                      <w:color w:val="150F96"/>
                      <w:sz w:val="24"/>
                      <w:szCs w:val="24"/>
                    </w:rPr>
                    <w:drawing>
                      <wp:inline distT="0" distB="0" distL="0" distR="0" wp14:anchorId="35BD7154" wp14:editId="3BC83B6C">
                        <wp:extent cx="4763135" cy="2282190"/>
                        <wp:effectExtent l="0" t="0" r="0" b="3810"/>
                        <wp:docPr id="2" name="Picture 2" descr="Lo que necesitas saber si estás usando más tecnologías digitales">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 que necesitas saber si estás usando más tecnologías digitales">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3135" cy="2282190"/>
                                </a:xfrm>
                                <a:prstGeom prst="rect">
                                  <a:avLst/>
                                </a:prstGeom>
                                <a:noFill/>
                                <a:ln>
                                  <a:noFill/>
                                </a:ln>
                              </pic:spPr>
                            </pic:pic>
                          </a:graphicData>
                        </a:graphic>
                      </wp:inline>
                    </w:drawing>
                  </w:r>
                </w:p>
              </w:tc>
            </w:tr>
            <w:tr w:rsidR="00347DF6" w:rsidRPr="00347DF6" w14:paraId="11921DCF" w14:textId="77777777">
              <w:trPr>
                <w:jc w:val="center"/>
              </w:trPr>
              <w:tc>
                <w:tcPr>
                  <w:tcW w:w="0" w:type="auto"/>
                  <w:shd w:val="clear" w:color="auto" w:fill="FFFFFF"/>
                  <w:tcMar>
                    <w:top w:w="450" w:type="dxa"/>
                    <w:left w:w="450" w:type="dxa"/>
                    <w:bottom w:w="450" w:type="dxa"/>
                    <w:right w:w="450" w:type="dxa"/>
                  </w:tcMar>
                  <w:hideMark/>
                </w:tcPr>
                <w:tbl>
                  <w:tblPr>
                    <w:tblW w:w="5000" w:type="pct"/>
                    <w:jc w:val="center"/>
                    <w:tblCellMar>
                      <w:left w:w="0" w:type="dxa"/>
                      <w:right w:w="0" w:type="dxa"/>
                    </w:tblCellMar>
                    <w:tblLook w:val="04A0" w:firstRow="1" w:lastRow="0" w:firstColumn="1" w:lastColumn="0" w:noHBand="0" w:noVBand="1"/>
                  </w:tblPr>
                  <w:tblGrid>
                    <w:gridCol w:w="6601"/>
                  </w:tblGrid>
                  <w:tr w:rsidR="00347DF6" w:rsidRPr="00347DF6" w14:paraId="11C909D9" w14:textId="77777777">
                    <w:trPr>
                      <w:jc w:val="center"/>
                    </w:trPr>
                    <w:tc>
                      <w:tcPr>
                        <w:tcW w:w="0" w:type="auto"/>
                        <w:tcMar>
                          <w:top w:w="0" w:type="dxa"/>
                          <w:left w:w="225" w:type="dxa"/>
                          <w:bottom w:w="0" w:type="dxa"/>
                          <w:right w:w="225" w:type="dxa"/>
                        </w:tcMar>
                        <w:hideMark/>
                      </w:tcPr>
                      <w:p w14:paraId="73D371FE" w14:textId="77777777" w:rsidR="00347DF6" w:rsidRPr="00347DF6" w:rsidRDefault="00347DF6" w:rsidP="00347DF6">
                        <w:pPr>
                          <w:spacing w:after="225" w:line="390" w:lineRule="atLeast"/>
                          <w:jc w:val="center"/>
                          <w:outlineLvl w:val="0"/>
                          <w:rPr>
                            <w:rFonts w:ascii="Georgia" w:eastAsia="Times New Roman" w:hAnsi="Georgia" w:cs="Times New Roman"/>
                            <w:color w:val="000000"/>
                            <w:kern w:val="36"/>
                            <w:sz w:val="33"/>
                            <w:szCs w:val="33"/>
                            <w:lang w:val="es-ES"/>
                          </w:rPr>
                        </w:pPr>
                        <w:r w:rsidRPr="00347DF6">
                          <w:rPr>
                            <w:rFonts w:ascii="Georgia" w:eastAsia="Times New Roman" w:hAnsi="Georgia" w:cs="Times New Roman"/>
                            <w:color w:val="000000"/>
                            <w:kern w:val="36"/>
                            <w:sz w:val="33"/>
                            <w:szCs w:val="33"/>
                            <w:lang w:val="es-ES"/>
                          </w:rPr>
                          <w:t>Asegúrate de que tu negocio está protegido contra los riesgos digitales.</w:t>
                        </w:r>
                      </w:p>
                    </w:tc>
                  </w:tr>
                  <w:tr w:rsidR="00347DF6" w:rsidRPr="00347DF6" w14:paraId="4B78442E" w14:textId="77777777">
                    <w:trPr>
                      <w:jc w:val="center"/>
                    </w:trPr>
                    <w:tc>
                      <w:tcPr>
                        <w:tcW w:w="0" w:type="auto"/>
                        <w:tcMar>
                          <w:top w:w="0" w:type="dxa"/>
                          <w:left w:w="225" w:type="dxa"/>
                          <w:bottom w:w="0" w:type="dxa"/>
                          <w:right w:w="225" w:type="dxa"/>
                        </w:tcMar>
                        <w:hideMark/>
                      </w:tcPr>
                      <w:p w14:paraId="688B84F3" w14:textId="77777777" w:rsidR="00347DF6" w:rsidRPr="00347DF6" w:rsidRDefault="00347DF6" w:rsidP="00347DF6">
                        <w:pPr>
                          <w:spacing w:after="0" w:line="330" w:lineRule="atLeast"/>
                          <w:jc w:val="center"/>
                          <w:rPr>
                            <w:rFonts w:ascii="Georgia" w:eastAsia="Times New Roman" w:hAnsi="Georgia" w:cs="Times New Roman"/>
                            <w:color w:val="000000"/>
                            <w:sz w:val="24"/>
                            <w:szCs w:val="24"/>
                            <w:lang w:val="es-ES"/>
                          </w:rPr>
                        </w:pPr>
                        <w:r w:rsidRPr="00347DF6">
                          <w:rPr>
                            <w:rFonts w:ascii="Georgia" w:eastAsia="Times New Roman" w:hAnsi="Georgia" w:cs="Times New Roman"/>
                            <w:color w:val="000000"/>
                            <w:sz w:val="24"/>
                            <w:szCs w:val="24"/>
                            <w:lang w:val="es-ES"/>
                          </w:rPr>
                          <w:t>Un nuevo estudio de Chubb y Accenture explora el creciente impacto de lo digital en las empresas y los nuevos riesgos que surgen como resultado.</w:t>
                        </w:r>
                      </w:p>
                    </w:tc>
                  </w:tr>
                  <w:tr w:rsidR="00347DF6" w:rsidRPr="00347DF6" w14:paraId="27515AD4" w14:textId="77777777">
                    <w:trPr>
                      <w:jc w:val="center"/>
                    </w:trPr>
                    <w:tc>
                      <w:tcPr>
                        <w:tcW w:w="0" w:type="auto"/>
                        <w:tcMar>
                          <w:top w:w="300" w:type="dxa"/>
                          <w:left w:w="0" w:type="dxa"/>
                          <w:bottom w:w="450" w:type="dxa"/>
                          <w:right w:w="0" w:type="dxa"/>
                        </w:tcMar>
                        <w:hideMark/>
                      </w:tcPr>
                      <w:p w14:paraId="5FDC73BF" w14:textId="2155AEC1" w:rsidR="00347DF6" w:rsidRPr="00347DF6" w:rsidRDefault="00347DF6" w:rsidP="00347DF6">
                        <w:pPr>
                          <w:spacing w:after="0" w:line="240" w:lineRule="auto"/>
                          <w:jc w:val="center"/>
                          <w:rPr>
                            <w:rFonts w:ascii="Times New Roman" w:eastAsia="Times New Roman" w:hAnsi="Times New Roman" w:cs="Times New Roman"/>
                            <w:sz w:val="24"/>
                            <w:szCs w:val="24"/>
                          </w:rPr>
                        </w:pPr>
                        <w:r w:rsidRPr="00347DF6">
                          <w:rPr>
                            <w:rFonts w:ascii="Times New Roman" w:eastAsia="Times New Roman" w:hAnsi="Times New Roman" w:cs="Times New Roman"/>
                            <w:noProof/>
                            <w:color w:val="150F96"/>
                            <w:sz w:val="24"/>
                            <w:szCs w:val="24"/>
                          </w:rPr>
                          <w:drawing>
                            <wp:inline distT="0" distB="0" distL="0" distR="0" wp14:anchorId="3FB17629" wp14:editId="56B2B850">
                              <wp:extent cx="1590040" cy="437515"/>
                              <wp:effectExtent l="0" t="0" r="0" b="635"/>
                              <wp:docPr id="1" name="Picture 1" descr="Más información">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ás información">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0040" cy="437515"/>
                                      </a:xfrm>
                                      <a:prstGeom prst="rect">
                                        <a:avLst/>
                                      </a:prstGeom>
                                      <a:noFill/>
                                      <a:ln>
                                        <a:noFill/>
                                      </a:ln>
                                    </pic:spPr>
                                  </pic:pic>
                                </a:graphicData>
                              </a:graphic>
                            </wp:inline>
                          </w:drawing>
                        </w:r>
                      </w:p>
                    </w:tc>
                  </w:tr>
                  <w:tr w:rsidR="00347DF6" w:rsidRPr="00347DF6" w14:paraId="5951C321" w14:textId="77777777">
                    <w:trPr>
                      <w:jc w:val="center"/>
                    </w:trPr>
                    <w:tc>
                      <w:tcPr>
                        <w:tcW w:w="0" w:type="auto"/>
                        <w:tcBorders>
                          <w:top w:val="single" w:sz="18" w:space="0" w:color="150F96"/>
                        </w:tcBorders>
                        <w:shd w:val="clear" w:color="auto" w:fill="F4F4F4"/>
                        <w:tcMar>
                          <w:top w:w="450" w:type="dxa"/>
                          <w:left w:w="600" w:type="dxa"/>
                          <w:bottom w:w="450" w:type="dxa"/>
                          <w:right w:w="600" w:type="dxa"/>
                        </w:tcMar>
                        <w:hideMark/>
                      </w:tcPr>
                      <w:tbl>
                        <w:tblPr>
                          <w:tblW w:w="5000" w:type="pct"/>
                          <w:jc w:val="center"/>
                          <w:tblCellMar>
                            <w:left w:w="0" w:type="dxa"/>
                            <w:right w:w="0" w:type="dxa"/>
                          </w:tblCellMar>
                          <w:tblLook w:val="04A0" w:firstRow="1" w:lastRow="0" w:firstColumn="1" w:lastColumn="0" w:noHBand="0" w:noVBand="1"/>
                        </w:tblPr>
                        <w:tblGrid>
                          <w:gridCol w:w="5401"/>
                        </w:tblGrid>
                        <w:tr w:rsidR="00347DF6" w:rsidRPr="00347DF6" w14:paraId="29F5A39A" w14:textId="77777777">
                          <w:trPr>
                            <w:jc w:val="center"/>
                          </w:trPr>
                          <w:tc>
                            <w:tcPr>
                              <w:tcW w:w="0" w:type="auto"/>
                              <w:vAlign w:val="center"/>
                              <w:hideMark/>
                            </w:tcPr>
                            <w:p w14:paraId="771634D4" w14:textId="77777777" w:rsidR="00347DF6" w:rsidRPr="00347DF6" w:rsidRDefault="00347DF6" w:rsidP="00347DF6">
                              <w:pPr>
                                <w:spacing w:after="300" w:line="330" w:lineRule="atLeast"/>
                                <w:jc w:val="center"/>
                                <w:rPr>
                                  <w:rFonts w:ascii="Georgia" w:eastAsia="Times New Roman" w:hAnsi="Georgia" w:cs="Times New Roman"/>
                                  <w:color w:val="000000"/>
                                  <w:sz w:val="24"/>
                                  <w:szCs w:val="24"/>
                                  <w:lang w:val="es-ES"/>
                                </w:rPr>
                              </w:pPr>
                              <w:r w:rsidRPr="00347DF6">
                                <w:rPr>
                                  <w:rFonts w:ascii="Georgia" w:eastAsia="Times New Roman" w:hAnsi="Georgia" w:cs="Times New Roman"/>
                                  <w:color w:val="000000"/>
                                  <w:sz w:val="24"/>
                                  <w:szCs w:val="24"/>
                                  <w:lang w:val="es-ES"/>
                                </w:rPr>
                                <w:t>Contacta con [Nombre] de la empresa [nombre] para analizar los riesgos de tu negocio y para obtener más información.*</w:t>
                              </w:r>
                            </w:p>
                          </w:tc>
                        </w:tr>
                        <w:tr w:rsidR="00347DF6" w:rsidRPr="00347DF6" w14:paraId="2FCBBC0B" w14:textId="77777777">
                          <w:trPr>
                            <w:jc w:val="center"/>
                          </w:trPr>
                          <w:tc>
                            <w:tcPr>
                              <w:tcW w:w="0" w:type="auto"/>
                              <w:tcMar>
                                <w:top w:w="0" w:type="dxa"/>
                                <w:left w:w="0" w:type="dxa"/>
                                <w:bottom w:w="150" w:type="dxa"/>
                                <w:right w:w="0" w:type="dxa"/>
                              </w:tcMar>
                              <w:vAlign w:val="center"/>
                              <w:hideMark/>
                            </w:tcPr>
                            <w:p w14:paraId="4F9204B7" w14:textId="77777777" w:rsidR="00347DF6" w:rsidRPr="00347DF6" w:rsidRDefault="00347DF6" w:rsidP="00347DF6">
                              <w:pPr>
                                <w:spacing w:after="0" w:line="240" w:lineRule="auto"/>
                                <w:jc w:val="center"/>
                                <w:rPr>
                                  <w:rFonts w:ascii="Georgia" w:eastAsia="Times New Roman" w:hAnsi="Georgia" w:cs="Times New Roman"/>
                                  <w:sz w:val="24"/>
                                  <w:szCs w:val="24"/>
                                </w:rPr>
                              </w:pPr>
                              <w:hyperlink r:id="rId12" w:tgtFrame="_blank" w:history="1">
                                <w:r w:rsidRPr="00347DF6">
                                  <w:rPr>
                                    <w:rFonts w:ascii="Georgia" w:eastAsia="Times New Roman" w:hAnsi="Georgia" w:cs="Times New Roman"/>
                                    <w:color w:val="150F96"/>
                                    <w:sz w:val="27"/>
                                    <w:szCs w:val="27"/>
                                  </w:rPr>
                                  <w:t>[email@email.com]</w:t>
                                </w:r>
                              </w:hyperlink>
                            </w:p>
                          </w:tc>
                        </w:tr>
                        <w:tr w:rsidR="00347DF6" w:rsidRPr="00347DF6" w14:paraId="4AD9E4BE" w14:textId="77777777">
                          <w:trPr>
                            <w:jc w:val="center"/>
                          </w:trPr>
                          <w:tc>
                            <w:tcPr>
                              <w:tcW w:w="0" w:type="auto"/>
                              <w:vAlign w:val="center"/>
                              <w:hideMark/>
                            </w:tcPr>
                            <w:p w14:paraId="35F9CA7D" w14:textId="77777777" w:rsidR="00347DF6" w:rsidRPr="00347DF6" w:rsidRDefault="00347DF6" w:rsidP="00347DF6">
                              <w:pPr>
                                <w:spacing w:after="0" w:line="240" w:lineRule="auto"/>
                                <w:jc w:val="center"/>
                                <w:rPr>
                                  <w:rFonts w:ascii="Georgia" w:eastAsia="Times New Roman" w:hAnsi="Georgia" w:cs="Times New Roman"/>
                                  <w:color w:val="000000"/>
                                  <w:sz w:val="24"/>
                                  <w:szCs w:val="24"/>
                                </w:rPr>
                              </w:pPr>
                              <w:r w:rsidRPr="00347DF6">
                                <w:rPr>
                                  <w:rFonts w:ascii="Georgia" w:eastAsia="Times New Roman" w:hAnsi="Georgia" w:cs="Times New Roman"/>
                                  <w:color w:val="000000"/>
                                  <w:sz w:val="24"/>
                                  <w:szCs w:val="24"/>
                                </w:rPr>
                                <w:t>[5555-555-555]</w:t>
                              </w:r>
                            </w:p>
                          </w:tc>
                        </w:tr>
                      </w:tbl>
                      <w:p w14:paraId="242923DE" w14:textId="77777777" w:rsidR="00347DF6" w:rsidRPr="00347DF6" w:rsidRDefault="00347DF6" w:rsidP="00347DF6">
                        <w:pPr>
                          <w:spacing w:after="0" w:line="240" w:lineRule="auto"/>
                          <w:jc w:val="center"/>
                          <w:rPr>
                            <w:rFonts w:ascii="Times New Roman" w:eastAsia="Times New Roman" w:hAnsi="Times New Roman" w:cs="Times New Roman"/>
                            <w:sz w:val="24"/>
                            <w:szCs w:val="24"/>
                          </w:rPr>
                        </w:pPr>
                      </w:p>
                    </w:tc>
                  </w:tr>
                </w:tbl>
                <w:p w14:paraId="30B7ADC5" w14:textId="77777777" w:rsidR="00347DF6" w:rsidRPr="00347DF6" w:rsidRDefault="00347DF6" w:rsidP="00347DF6">
                  <w:pPr>
                    <w:spacing w:after="0" w:line="240" w:lineRule="auto"/>
                    <w:jc w:val="center"/>
                    <w:rPr>
                      <w:rFonts w:ascii="Times New Roman" w:eastAsia="Times New Roman" w:hAnsi="Times New Roman" w:cs="Times New Roman"/>
                      <w:sz w:val="24"/>
                      <w:szCs w:val="24"/>
                    </w:rPr>
                  </w:pPr>
                </w:p>
              </w:tc>
            </w:tr>
            <w:tr w:rsidR="00347DF6" w:rsidRPr="00347DF6" w14:paraId="1D5B8B9D" w14:textId="77777777">
              <w:trPr>
                <w:jc w:val="center"/>
              </w:trPr>
              <w:tc>
                <w:tcPr>
                  <w:tcW w:w="0" w:type="auto"/>
                  <w:shd w:val="clear" w:color="auto" w:fill="F4F4F4"/>
                  <w:tcMar>
                    <w:top w:w="450" w:type="dxa"/>
                    <w:left w:w="450" w:type="dxa"/>
                    <w:bottom w:w="450" w:type="dxa"/>
                    <w:right w:w="450" w:type="dxa"/>
                  </w:tcMar>
                  <w:hideMark/>
                </w:tcPr>
                <w:tbl>
                  <w:tblPr>
                    <w:tblW w:w="5000" w:type="pct"/>
                    <w:jc w:val="center"/>
                    <w:tblCellMar>
                      <w:left w:w="0" w:type="dxa"/>
                      <w:right w:w="0" w:type="dxa"/>
                    </w:tblCellMar>
                    <w:tblLook w:val="04A0" w:firstRow="1" w:lastRow="0" w:firstColumn="1" w:lastColumn="0" w:noHBand="0" w:noVBand="1"/>
                  </w:tblPr>
                  <w:tblGrid>
                    <w:gridCol w:w="6601"/>
                  </w:tblGrid>
                  <w:tr w:rsidR="00347DF6" w:rsidRPr="00347DF6" w14:paraId="473AC758" w14:textId="77777777">
                    <w:trPr>
                      <w:jc w:val="center"/>
                    </w:trPr>
                    <w:tc>
                      <w:tcPr>
                        <w:tcW w:w="0" w:type="auto"/>
                        <w:vAlign w:val="center"/>
                        <w:hideMark/>
                      </w:tcPr>
                      <w:p w14:paraId="2D8E4D5D" w14:textId="5289FCBE" w:rsidR="00347DF6" w:rsidRPr="00347DF6" w:rsidRDefault="00347DF6" w:rsidP="00347DF6">
                        <w:pPr>
                          <w:spacing w:after="0" w:line="210" w:lineRule="atLeast"/>
                          <w:rPr>
                            <w:rFonts w:ascii="Georgia" w:eastAsia="Times New Roman" w:hAnsi="Georgia" w:cs="Times New Roman"/>
                            <w:color w:val="000000"/>
                            <w:sz w:val="18"/>
                            <w:szCs w:val="18"/>
                            <w:lang w:val="es-ES"/>
                          </w:rPr>
                        </w:pPr>
                        <w:r w:rsidRPr="00347DF6">
                          <w:rPr>
                            <w:rFonts w:ascii="Georgia" w:eastAsia="Times New Roman" w:hAnsi="Georgia" w:cs="Times New Roman"/>
                            <w:color w:val="000000"/>
                            <w:sz w:val="18"/>
                            <w:szCs w:val="18"/>
                            <w:lang w:val="es-ES"/>
                          </w:rPr>
                          <w:lastRenderedPageBreak/>
                          <w:t>*En febrero de 2020, Chubb colaboró con Accenture en una encuesta a 1350 directivos de pequeñas y medianas empresas sobre las tendencias digitales.</w:t>
                        </w:r>
                        <w:r w:rsidRPr="00347DF6">
                          <w:rPr>
                            <w:rFonts w:ascii="Georgia" w:eastAsia="Times New Roman" w:hAnsi="Georgia" w:cs="Times New Roman"/>
                            <w:color w:val="000000"/>
                            <w:sz w:val="18"/>
                            <w:szCs w:val="18"/>
                            <w:lang w:val="es-ES"/>
                          </w:rPr>
                          <w:br/>
                        </w:r>
                        <w:r w:rsidRPr="00347DF6">
                          <w:rPr>
                            <w:rFonts w:ascii="Georgia" w:eastAsia="Times New Roman" w:hAnsi="Georgia" w:cs="Times New Roman"/>
                            <w:color w:val="000000"/>
                            <w:sz w:val="18"/>
                            <w:szCs w:val="18"/>
                            <w:lang w:val="es-ES"/>
                          </w:rPr>
                          <w:br/>
                          <w:t>[insertar información legal de la correduría y el link para no recibir más comunicaciones</w:t>
                        </w:r>
                        <w:r>
                          <w:rPr>
                            <w:rFonts w:ascii="Georgia" w:eastAsia="Times New Roman" w:hAnsi="Georgia" w:cs="Times New Roman"/>
                            <w:color w:val="000000"/>
                            <w:sz w:val="18"/>
                            <w:szCs w:val="18"/>
                            <w:lang w:val="es-ES"/>
                          </w:rPr>
                          <w:t xml:space="preserve"> comerciales</w:t>
                        </w:r>
                        <w:bookmarkStart w:id="0" w:name="_GoBack"/>
                        <w:bookmarkEnd w:id="0"/>
                        <w:r w:rsidRPr="00347DF6">
                          <w:rPr>
                            <w:rFonts w:ascii="Georgia" w:eastAsia="Times New Roman" w:hAnsi="Georgia" w:cs="Times New Roman"/>
                            <w:color w:val="000000"/>
                            <w:sz w:val="18"/>
                            <w:szCs w:val="18"/>
                            <w:lang w:val="es-ES"/>
                          </w:rPr>
                          <w:t>].</w:t>
                        </w:r>
                        <w:r w:rsidRPr="00347DF6">
                          <w:rPr>
                            <w:rFonts w:ascii="Georgia" w:eastAsia="Times New Roman" w:hAnsi="Georgia" w:cs="Times New Roman"/>
                            <w:color w:val="000000"/>
                            <w:sz w:val="18"/>
                            <w:szCs w:val="18"/>
                            <w:lang w:val="es-ES"/>
                          </w:rPr>
                          <w:br/>
                        </w:r>
                        <w:r w:rsidRPr="00347DF6">
                          <w:rPr>
                            <w:rFonts w:ascii="Georgia" w:eastAsia="Times New Roman" w:hAnsi="Georgia" w:cs="Times New Roman"/>
                            <w:color w:val="000000"/>
                            <w:sz w:val="18"/>
                            <w:szCs w:val="18"/>
                            <w:lang w:val="es-ES"/>
                          </w:rPr>
                          <w:br/>
                          <w:t>Esto es un mensaje promocional enviado de parte de la correduría.</w:t>
                        </w:r>
                        <w:r w:rsidRPr="00347DF6">
                          <w:rPr>
                            <w:rFonts w:ascii="Georgia" w:eastAsia="Times New Roman" w:hAnsi="Georgia" w:cs="Times New Roman"/>
                            <w:color w:val="000000"/>
                            <w:sz w:val="18"/>
                            <w:szCs w:val="18"/>
                            <w:lang w:val="es-ES"/>
                          </w:rPr>
                          <w:br/>
                        </w:r>
                        <w:r w:rsidRPr="00347DF6">
                          <w:rPr>
                            <w:rFonts w:ascii="Georgia" w:eastAsia="Times New Roman" w:hAnsi="Georgia" w:cs="Times New Roman"/>
                            <w:color w:val="000000"/>
                            <w:sz w:val="18"/>
                            <w:szCs w:val="18"/>
                            <w:lang w:val="es-ES"/>
                          </w:rPr>
                          <w:br/>
                          <w:t>Todo el contenido de este material es solo para fines de información general. No constituye un consejo personal o una recomendación para ninguna persona o empresa de ningún producto o servicio. Consulte la documentación de la póliza emitida para conocer los términos y condiciones de la cobertura.</w:t>
                        </w:r>
                        <w:r w:rsidRPr="00347DF6">
                          <w:rPr>
                            <w:rFonts w:ascii="Georgia" w:eastAsia="Times New Roman" w:hAnsi="Georgia" w:cs="Times New Roman"/>
                            <w:color w:val="000000"/>
                            <w:sz w:val="18"/>
                            <w:szCs w:val="18"/>
                            <w:lang w:val="es-ES"/>
                          </w:rPr>
                          <w:br/>
                        </w:r>
                        <w:r w:rsidRPr="00347DF6">
                          <w:rPr>
                            <w:rFonts w:ascii="Georgia" w:eastAsia="Times New Roman" w:hAnsi="Georgia" w:cs="Times New Roman"/>
                            <w:color w:val="000000"/>
                            <w:sz w:val="18"/>
                            <w:szCs w:val="18"/>
                            <w:lang w:val="es-ES"/>
                          </w:rPr>
                          <w:br/>
                          <w:t>Chubb European Group SE, Sucursal en España, con domicilio en el Paseo de la Castellana 141, Planta 6, 28046 Madrid y C.I.F. W-0067389-G. Inscrita en el Registro Mercantil de Madrid, Tomo 19.701, Libro 0, Folio 1, Sección 8, Hoja M346611, Libro de Sociedades. Entidad Aseguradora, cuyo capital social es de 896.176.662€, con sede en Francia y regulada por el código de seguro francés, inscrita en el Registro Comercial de Nanterre con el número 450 327 374 y domicilio social en la Tour Carpe Diem, 31 Place des Corolles, Esplanade Nord, 92400 Courbevoie, France. Supervisada por la Autorité de Contrôle Prudentiel et de Résolution (ACPR), 4, Place de Budapest, CS 92459, 75436 PARIS CEDEX 09 y por la Dirección General de Seguros y Fondos de Pensiones, con código de inscripción E</w:t>
                        </w:r>
                        <w:r w:rsidRPr="00347DF6">
                          <w:rPr>
                            <w:rFonts w:ascii="Georgia" w:eastAsia="Times New Roman" w:hAnsi="Georgia" w:cs="Times New Roman"/>
                            <w:color w:val="000000"/>
                            <w:sz w:val="18"/>
                            <w:szCs w:val="18"/>
                            <w:lang w:val="es-ES"/>
                          </w:rPr>
                          <w:noBreakHyphen/>
                          <w:t>0155.</w:t>
                        </w:r>
                      </w:p>
                    </w:tc>
                  </w:tr>
                </w:tbl>
                <w:p w14:paraId="34FE5DA6" w14:textId="77777777" w:rsidR="00347DF6" w:rsidRPr="00347DF6" w:rsidRDefault="00347DF6" w:rsidP="00347DF6">
                  <w:pPr>
                    <w:spacing w:after="0" w:line="240" w:lineRule="auto"/>
                    <w:jc w:val="center"/>
                    <w:rPr>
                      <w:rFonts w:ascii="Times New Roman" w:eastAsia="Times New Roman" w:hAnsi="Times New Roman" w:cs="Times New Roman"/>
                      <w:sz w:val="24"/>
                      <w:szCs w:val="24"/>
                      <w:lang w:val="es-ES"/>
                    </w:rPr>
                  </w:pPr>
                </w:p>
              </w:tc>
            </w:tr>
          </w:tbl>
          <w:p w14:paraId="5C07C57F" w14:textId="77777777" w:rsidR="00347DF6" w:rsidRPr="00347DF6" w:rsidRDefault="00347DF6" w:rsidP="00347DF6">
            <w:pPr>
              <w:spacing w:after="0" w:line="240" w:lineRule="auto"/>
              <w:jc w:val="center"/>
              <w:rPr>
                <w:rFonts w:ascii="Times New Roman" w:eastAsia="Times New Roman" w:hAnsi="Times New Roman" w:cs="Times New Roman"/>
                <w:sz w:val="24"/>
                <w:szCs w:val="24"/>
                <w:lang w:val="es-ES"/>
              </w:rPr>
            </w:pPr>
          </w:p>
        </w:tc>
      </w:tr>
    </w:tbl>
    <w:p w14:paraId="1EB00CAF" w14:textId="77777777" w:rsidR="00820B5A" w:rsidRPr="00347DF6" w:rsidRDefault="00820B5A">
      <w:pPr>
        <w:rPr>
          <w:lang w:val="es-ES"/>
        </w:rPr>
      </w:pPr>
    </w:p>
    <w:sectPr w:rsidR="00820B5A" w:rsidRPr="00347D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43EE0" w14:textId="77777777" w:rsidR="00347DF6" w:rsidRDefault="00347DF6" w:rsidP="00347DF6">
      <w:pPr>
        <w:spacing w:after="0" w:line="240" w:lineRule="auto"/>
      </w:pPr>
      <w:r>
        <w:separator/>
      </w:r>
    </w:p>
  </w:endnote>
  <w:endnote w:type="continuationSeparator" w:id="0">
    <w:p w14:paraId="22466C21" w14:textId="77777777" w:rsidR="00347DF6" w:rsidRDefault="00347DF6" w:rsidP="00347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39A0C" w14:textId="77777777" w:rsidR="00347DF6" w:rsidRDefault="00347DF6" w:rsidP="00347DF6">
      <w:pPr>
        <w:spacing w:after="0" w:line="240" w:lineRule="auto"/>
      </w:pPr>
      <w:r>
        <w:separator/>
      </w:r>
    </w:p>
  </w:footnote>
  <w:footnote w:type="continuationSeparator" w:id="0">
    <w:p w14:paraId="255FDE7F" w14:textId="77777777" w:rsidR="00347DF6" w:rsidRDefault="00347DF6" w:rsidP="00347D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DF6"/>
    <w:rsid w:val="00347DF6"/>
    <w:rsid w:val="006D2CB0"/>
    <w:rsid w:val="00820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E0F75"/>
  <w15:chartTrackingRefBased/>
  <w15:docId w15:val="{B8C7107B-5CF1-429D-8328-6CE6F41F2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47D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DF6"/>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47DF6"/>
    <w:rPr>
      <w:color w:val="0000FF"/>
      <w:u w:val="single"/>
    </w:rPr>
  </w:style>
  <w:style w:type="paragraph" w:styleId="NormalWeb">
    <w:name w:val="Normal (Web)"/>
    <w:basedOn w:val="Normal"/>
    <w:uiPriority w:val="99"/>
    <w:semiHidden/>
    <w:unhideWhenUsed/>
    <w:rsid w:val="00347D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14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ubb.com/es-es/?utm_source=business-client&amp;utm_medium=email&amp;utm_campaign=digital-business-accelerated-client-email&amp;utm_content=her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mailt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hubb.com/es-es/?utm_source=business-client&amp;utm_medium=email&amp;utm_campaign=digital-business-accelerated-client-email&amp;utm_content=logo" TargetMode="External"/><Relationship Id="rId11" Type="http://schemas.openxmlformats.org/officeDocument/2006/relationships/image" Target="media/image3.png"/><Relationship Id="rId5" Type="http://schemas.openxmlformats.org/officeDocument/2006/relationships/endnotes" Target="endnotes.xml"/><Relationship Id="rId10" Type="http://schemas.openxmlformats.org/officeDocument/2006/relationships/hyperlink" Target="https://www.chubb.com/es-es/?utm_source=business-client&amp;utm_medium=email&amp;utm_campaign=digital-business-accelerated-client-email&amp;utm_content=descubre-mas"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1565</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Ana</dc:creator>
  <cp:keywords/>
  <dc:description/>
  <cp:lastModifiedBy>Gonzalez, Ana</cp:lastModifiedBy>
  <cp:revision>1</cp:revision>
  <dcterms:created xsi:type="dcterms:W3CDTF">2021-05-31T08:29:00Z</dcterms:created>
  <dcterms:modified xsi:type="dcterms:W3CDTF">2021-05-31T08:30:00Z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aa5c99-d8da-4f53-b23b-5b8c5f8bd622_Enabled">
    <vt:lpwstr>true</vt:lpwstr>
  </property>
  <property fmtid="{D5CDD505-2E9C-101B-9397-08002B2CF9AE}" pid="3" name="MSIP_Label_08aa5c99-d8da-4f53-b23b-5b8c5f8bd622_SetDate">
    <vt:lpwstr>2021-05-31T08:29:23Z</vt:lpwstr>
  </property>
  <property fmtid="{D5CDD505-2E9C-101B-9397-08002B2CF9AE}" pid="4" name="MSIP_Label_08aa5c99-d8da-4f53-b23b-5b8c5f8bd622_Method">
    <vt:lpwstr>Standard</vt:lpwstr>
  </property>
  <property fmtid="{D5CDD505-2E9C-101B-9397-08002B2CF9AE}" pid="5" name="MSIP_Label_08aa5c99-d8da-4f53-b23b-5b8c5f8bd622_Name">
    <vt:lpwstr>Yellow Data - EMEA</vt:lpwstr>
  </property>
  <property fmtid="{D5CDD505-2E9C-101B-9397-08002B2CF9AE}" pid="6" name="MSIP_Label_08aa5c99-d8da-4f53-b23b-5b8c5f8bd622_SiteId">
    <vt:lpwstr>fffcdc91-d561-4287-aebc-78d2466eec29</vt:lpwstr>
  </property>
  <property fmtid="{D5CDD505-2E9C-101B-9397-08002B2CF9AE}" pid="7" name="MSIP_Label_08aa5c99-d8da-4f53-b23b-5b8c5f8bd622_ActionId">
    <vt:lpwstr>17205cd2-775d-4f84-bcb3-08ff8fbab6ad</vt:lpwstr>
  </property>
  <property fmtid="{D5CDD505-2E9C-101B-9397-08002B2CF9AE}" pid="8" name="MSIP_Label_08aa5c99-d8da-4f53-b23b-5b8c5f8bd622_ContentBits">
    <vt:lpwstr>0</vt:lpwstr>
  </property>
</Properties>
</file>